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18" w:rsidRDefault="00692516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XXXIX</w:t>
      </w:r>
      <w:r w:rsidR="00753649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425C97" w:rsidRDefault="00425C97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25C9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ЕДАГОГИКА КАК НАУКИ СТАНОВЛЕНИЯ</w:t>
      </w:r>
    </w:p>
    <w:p w:rsidR="002D7485" w:rsidRDefault="00425C97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25C9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 РАЗВИТИЯ СОВРЕМЕННОЙ ЛИЧНОСТИ</w:t>
      </w:r>
    </w:p>
    <w:p w:rsidR="00425C97" w:rsidRPr="002D7485" w:rsidRDefault="00425C97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692516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МП-39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C057D9" w:rsidRDefault="00C057D9" w:rsidP="00AB6418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82F93">
        <w:rPr>
          <w:b/>
          <w:szCs w:val="28"/>
        </w:rPr>
        <w:t>6</w:t>
      </w:r>
      <w:r w:rsidR="00657170">
        <w:rPr>
          <w:b/>
          <w:szCs w:val="28"/>
        </w:rPr>
        <w:t xml:space="preserve"> </w:t>
      </w:r>
      <w:r w:rsidR="00692516">
        <w:rPr>
          <w:b/>
          <w:szCs w:val="28"/>
        </w:rPr>
        <w:t>ноября</w:t>
      </w:r>
      <w:r w:rsidR="00AB6418">
        <w:rPr>
          <w:b/>
          <w:szCs w:val="28"/>
        </w:rPr>
        <w:t xml:space="preserve"> </w:t>
      </w:r>
      <w:r w:rsidR="00753649">
        <w:rPr>
          <w:b/>
          <w:szCs w:val="28"/>
        </w:rPr>
        <w:t>2024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C057D9" w:rsidRPr="00C057D9" w:rsidRDefault="00C057D9" w:rsidP="00C057D9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057D9">
        <w:rPr>
          <w:rStyle w:val="a9"/>
          <w:bCs w:val="0"/>
          <w:color w:val="000000"/>
          <w:spacing w:val="-5"/>
          <w:szCs w:val="28"/>
          <w:shd w:val="clear" w:color="auto" w:fill="FFFFFF"/>
        </w:rPr>
        <w:t>ПСИХОЛОГИЯ И ПЕДАГОГИКА КАК НАУКИ СТАНОВЛЕНИЯ</w:t>
      </w:r>
    </w:p>
    <w:p w:rsidR="002D7485" w:rsidRDefault="00C057D9" w:rsidP="00C057D9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057D9">
        <w:rPr>
          <w:rStyle w:val="a9"/>
          <w:bCs w:val="0"/>
          <w:color w:val="000000"/>
          <w:spacing w:val="-5"/>
          <w:szCs w:val="28"/>
          <w:shd w:val="clear" w:color="auto" w:fill="FFFFFF"/>
        </w:rPr>
        <w:t>И РАЗВИТИЯ СОВРЕМЕННОЙ ЛИЧНОСТИ</w:t>
      </w:r>
    </w:p>
    <w:p w:rsidR="00C057D9" w:rsidRPr="00082F93" w:rsidRDefault="00C057D9" w:rsidP="00C057D9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082F93">
        <w:rPr>
          <w:b/>
          <w:spacing w:val="-4"/>
          <w:sz w:val="24"/>
          <w:szCs w:val="24"/>
        </w:rPr>
        <w:t>6</w:t>
      </w:r>
      <w:r>
        <w:rPr>
          <w:b/>
          <w:spacing w:val="-4"/>
          <w:sz w:val="24"/>
          <w:szCs w:val="24"/>
        </w:rPr>
        <w:t xml:space="preserve"> </w:t>
      </w:r>
      <w:r w:rsidR="00692516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583F77" w:rsidRPr="007618A5" w:rsidRDefault="00B165A7" w:rsidP="007618A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C057D9" w:rsidRDefault="00C057D9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082F93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92516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53649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692516">
        <w:rPr>
          <w:b/>
          <w:spacing w:val="-4"/>
          <w:sz w:val="24"/>
          <w:szCs w:val="24"/>
        </w:rPr>
        <w:t>МП-39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692516">
        <w:rPr>
          <w:b/>
          <w:spacing w:val="-4"/>
          <w:sz w:val="24"/>
          <w:szCs w:val="24"/>
        </w:rPr>
        <w:t>МП-39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92516">
        <w:rPr>
          <w:b/>
          <w:spacing w:val="-4"/>
          <w:sz w:val="24"/>
          <w:szCs w:val="24"/>
        </w:rPr>
        <w:t>МП-39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925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МП-39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92516">
        <w:rPr>
          <w:b/>
          <w:spacing w:val="-4"/>
          <w:sz w:val="24"/>
          <w:szCs w:val="24"/>
        </w:rPr>
        <w:t>МП-39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92516">
        <w:rPr>
          <w:b/>
          <w:spacing w:val="-4"/>
          <w:sz w:val="24"/>
          <w:szCs w:val="24"/>
        </w:rPr>
        <w:t>МП-39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0B218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0B218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692516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753649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692516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МП-39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692516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МП-39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B165A7" w:rsidP="003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082F9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69251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2858" w:rsidRDefault="00502858" w:rsidP="005028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02858" w:rsidRDefault="00502858" w:rsidP="00502858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925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МП-39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0B218B" w:rsidRPr="005112AC" w:rsidTr="00342BE8">
        <w:trPr>
          <w:trHeight w:val="1276"/>
        </w:trPr>
        <w:tc>
          <w:tcPr>
            <w:tcW w:w="9554" w:type="dxa"/>
            <w:gridSpan w:val="2"/>
          </w:tcPr>
          <w:p w:rsidR="000B218B" w:rsidRDefault="000B218B" w:rsidP="000B218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B218B" w:rsidRPr="00193865" w:rsidRDefault="000B218B" w:rsidP="000B218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0B218B" w:rsidRPr="00816F40" w:rsidRDefault="000B218B" w:rsidP="000B218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0B218B" w:rsidRPr="005112AC" w:rsidTr="00342BE8">
        <w:trPr>
          <w:trHeight w:val="1276"/>
        </w:trPr>
        <w:tc>
          <w:tcPr>
            <w:tcW w:w="9554" w:type="dxa"/>
            <w:gridSpan w:val="2"/>
          </w:tcPr>
          <w:p w:rsidR="000B218B" w:rsidRPr="00FA1638" w:rsidRDefault="000B218B" w:rsidP="000B218B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B218B" w:rsidRDefault="000B218B" w:rsidP="000B21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18B" w:rsidRDefault="000B218B" w:rsidP="000B21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18B" w:rsidRPr="002C1E7F" w:rsidRDefault="000B218B" w:rsidP="000B218B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0B218B" w:rsidRDefault="000B218B" w:rsidP="000B218B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C9352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0B218B" w:rsidRPr="006B0A58" w:rsidRDefault="000B218B" w:rsidP="000B218B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0B218B" w:rsidRDefault="000B218B" w:rsidP="000B218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B218B" w:rsidRDefault="000B218B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5F6" w:rsidRDefault="00D725F6" w:rsidP="00D725F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Конференции:</w:t>
      </w:r>
    </w:p>
    <w:p w:rsidR="00D725F6" w:rsidRPr="00544FB3" w:rsidRDefault="00D725F6" w:rsidP="00D725F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 w:cs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Ю-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 w:rsidRPr="00544FB3"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МП-39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Э-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 w:cs="Times New Roman"/>
          <w:bCs/>
          <w:sz w:val="24"/>
          <w:szCs w:val="24"/>
        </w:rPr>
        <w:t>» (МЕ-39)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 w:cs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 w:cs="Times New Roman"/>
          <w:bCs/>
          <w:sz w:val="24"/>
          <w:szCs w:val="24"/>
        </w:rPr>
        <w:t>» (МЗ-39)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(М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725F6" w:rsidRPr="00EC3A5D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5F6" w:rsidRDefault="00D725F6" w:rsidP="00D725F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Публикации:</w:t>
      </w:r>
    </w:p>
    <w:p w:rsidR="00D725F6" w:rsidRPr="00544FB3" w:rsidRDefault="00D725F6" w:rsidP="00D725F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hAnsi="Times New Roman" w:cs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5F6" w:rsidRPr="00544FB3" w:rsidRDefault="00D725F6" w:rsidP="00D725F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Конкурсы:</w:t>
      </w:r>
    </w:p>
    <w:p w:rsidR="00D725F6" w:rsidRPr="00544FB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5F6" w:rsidRPr="00D3468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 w:cs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D725F6" w:rsidRPr="00D3468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D725F6" w:rsidRPr="00454A25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7066C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>ноября.  М</w:t>
      </w:r>
      <w:r>
        <w:rPr>
          <w:rFonts w:ascii="Times New Roman" w:hAnsi="Times New Roman" w:cs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D725F6" w:rsidRPr="00D3468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5F6" w:rsidRPr="00544FB3" w:rsidRDefault="00D725F6" w:rsidP="00D725F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Олимпиады: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5F6" w:rsidRPr="003478E7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товароведению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:rsidR="00D725F6" w:rsidRPr="00DA4C04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D725F6" w:rsidRPr="007A3BCA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экологии</w:t>
      </w:r>
    </w:p>
    <w:p w:rsidR="00D725F6" w:rsidRPr="00D3468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международному праву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философии</w:t>
      </w:r>
    </w:p>
    <w:p w:rsidR="00D725F6" w:rsidRPr="00D3468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химии</w:t>
      </w:r>
    </w:p>
    <w:p w:rsidR="00D725F6" w:rsidRPr="00D34683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немецкому языку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социологии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D725F6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5F6" w:rsidRPr="00BC029A" w:rsidRDefault="00D725F6" w:rsidP="00D725F6">
      <w:pPr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p w:rsidR="00F22D45" w:rsidRPr="002F60BD" w:rsidRDefault="00F22D45" w:rsidP="00D725F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sectPr w:rsidR="00F22D45" w:rsidRPr="002F60B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663" w:rsidRDefault="009B2663" w:rsidP="004402DE">
      <w:pPr>
        <w:spacing w:after="0" w:line="240" w:lineRule="auto"/>
      </w:pPr>
      <w:r>
        <w:separator/>
      </w:r>
    </w:p>
  </w:endnote>
  <w:endnote w:type="continuationSeparator" w:id="0">
    <w:p w:rsidR="009B2663" w:rsidRDefault="009B2663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663" w:rsidRDefault="009B2663" w:rsidP="004402DE">
      <w:pPr>
        <w:spacing w:after="0" w:line="240" w:lineRule="auto"/>
      </w:pPr>
      <w:r>
        <w:separator/>
      </w:r>
    </w:p>
  </w:footnote>
  <w:footnote w:type="continuationSeparator" w:id="0">
    <w:p w:rsidR="009B2663" w:rsidRDefault="009B2663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6732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218B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007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1D76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1C49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D059B"/>
    <w:rsid w:val="003D35DB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2081"/>
    <w:rsid w:val="004124EB"/>
    <w:rsid w:val="00414863"/>
    <w:rsid w:val="0042002F"/>
    <w:rsid w:val="00421BAD"/>
    <w:rsid w:val="00423202"/>
    <w:rsid w:val="00425C97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1EF9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02858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335BF"/>
    <w:rsid w:val="00534338"/>
    <w:rsid w:val="00534868"/>
    <w:rsid w:val="00536038"/>
    <w:rsid w:val="00536192"/>
    <w:rsid w:val="0053656D"/>
    <w:rsid w:val="0054021E"/>
    <w:rsid w:val="00545212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2B91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4F47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2516"/>
    <w:rsid w:val="00693326"/>
    <w:rsid w:val="006960BD"/>
    <w:rsid w:val="006A1310"/>
    <w:rsid w:val="006A2BFF"/>
    <w:rsid w:val="006A6727"/>
    <w:rsid w:val="006A67D3"/>
    <w:rsid w:val="006B0A5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12B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37D15"/>
    <w:rsid w:val="00741850"/>
    <w:rsid w:val="007429C1"/>
    <w:rsid w:val="00743D0D"/>
    <w:rsid w:val="007444FF"/>
    <w:rsid w:val="00744B65"/>
    <w:rsid w:val="007470D9"/>
    <w:rsid w:val="007478F1"/>
    <w:rsid w:val="0075153F"/>
    <w:rsid w:val="00753649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363C1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6D9D"/>
    <w:rsid w:val="009A277C"/>
    <w:rsid w:val="009A4B60"/>
    <w:rsid w:val="009A73CB"/>
    <w:rsid w:val="009A7DC3"/>
    <w:rsid w:val="009B266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D51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3CD3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0A8A"/>
    <w:rsid w:val="00C01E1A"/>
    <w:rsid w:val="00C0263D"/>
    <w:rsid w:val="00C04043"/>
    <w:rsid w:val="00C057D9"/>
    <w:rsid w:val="00C06258"/>
    <w:rsid w:val="00C073EF"/>
    <w:rsid w:val="00C07896"/>
    <w:rsid w:val="00C07D04"/>
    <w:rsid w:val="00C11797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3523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25F6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AD83D1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60F5-7C5A-4376-8D97-FCF87345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8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505</cp:revision>
  <cp:lastPrinted>2016-12-27T17:35:00Z</cp:lastPrinted>
  <dcterms:created xsi:type="dcterms:W3CDTF">2014-12-16T13:41:00Z</dcterms:created>
  <dcterms:modified xsi:type="dcterms:W3CDTF">2024-08-14T09:08:00Z</dcterms:modified>
</cp:coreProperties>
</file>